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SCENARIO PACKAGE GS-3</w:t>
      </w:r>
    </w:p>
    <w:p>
      <w:pPr>
        <w:spacing w:after="120"/>
      </w:pPr>
      <w:r>
        <w:rPr>
          <w:rFonts w:ascii="Calibri" w:cs="Calibri" w:eastAsia="Calibri" w:hAnsi="Calibri"/>
          <w:b/>
          <w:bCs/>
          <w:color w:val="1F3864"/>
          <w:sz w:val="52"/>
          <w:szCs w:val="52"/>
        </w:rPr>
        <w:t xml:space="preserve">Key Person Loss</w:t>
      </w:r>
    </w:p>
    <w:p>
      <w:pPr>
        <w:spacing w:after="100"/>
      </w:pPr>
      <w:r>
        <w:rPr>
          <w:rFonts w:ascii="Calibri" w:cs="Calibri" w:eastAsia="Calibri" w:hAnsi="Calibri"/>
          <w:color w:val="595959"/>
          <w:sz w:val="24"/>
          <w:szCs w:val="24"/>
        </w:rPr>
        <w:t xml:space="preserve">Critical Knowledge and Access Concentration — Business Response Focus</w:t>
      </w:r>
    </w:p>
    <w:p>
      <w:pPr>
        <w:pBdr>
          <w:bottom w:val="single" w:color="2E74B5" w:sz="8" w:space="6"/>
        </w:pBdr>
        <w:spacing w:after="80"/>
      </w:pPr>
      <w:r>
        <w:rPr>
          <w:rFonts w:ascii="Calibri" w:cs="Calibri" w:eastAsia="Calibri" w:hAnsi="Calibri"/>
          <w:color w:val="595959"/>
          <w:sz w:val="20"/>
          <w:szCs w:val="20"/>
        </w:rPr>
        <w:t xml:space="preserve">Industry: General / Industry-Agnostic  |  Duration: 2–3 Hours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Scenario Overview</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Threat category</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Person Loss / Succession Crisis</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response focus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Tests knowledge concentration risk, succession planning, operational continuity, and access recovery. Decision-making, communication, and coordination, not technical account recovery.</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(3 modules + hot wash)</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Recommended participants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CEO/COO, CFO, HR Director, IT Director, Operations Manager, Department Heads</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decisions tested</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Immediate operational continuity, access recovery, client/customer communication, succession activation</w:t>
            </w:r>
          </w:p>
        </w:tc>
      </w:tr>
    </w:tbl>
    <w:p>
      <w:pPr>
        <w:pStyle w:val="Heading1"/>
        <w:keepNext/>
        <w:spacing w:after="140" w:before="320"/>
      </w:pPr>
      <w:r>
        <w:rPr>
          <w:rFonts w:ascii="Calibri" w:cs="Calibri" w:eastAsia="Calibri" w:hAnsi="Calibri"/>
          <w:b/>
          <w:bCs/>
          <w:color w:val="1F3864"/>
          <w:sz w:val="30"/>
          <w:szCs w:val="30"/>
        </w:rPr>
        <w:t xml:space="preserve">Scenario Narrative</w:t>
      </w:r>
    </w:p>
    <w:p>
      <w:pPr>
        <w:pStyle w:val="Heading2"/>
        <w:keepNext/>
        <w:spacing w:after="110" w:before="240"/>
      </w:pPr>
      <w:r>
        <w:rPr>
          <w:rFonts w:ascii="Calibri" w:cs="Calibri" w:eastAsia="Calibri" w:hAnsi="Calibri"/>
          <w:b/>
          <w:bCs/>
          <w:color w:val="2E74B5"/>
          <w:sz w:val="25"/>
          <w:szCs w:val="25"/>
        </w:rPr>
        <w:t xml:space="preserve">Background</w:t>
      </w:r>
    </w:p>
    <w:p>
      <w:pPr>
        <w:spacing w:after="120" w:before="0" w:line="276"/>
      </w:pPr>
      <w:r>
        <w:rPr>
          <w:rFonts w:ascii="Calibri" w:cs="Calibri" w:eastAsia="Calibri" w:hAnsi="Calibri"/>
          <w:color w:val="404040"/>
          <w:sz w:val="21"/>
          <w:szCs w:val="21"/>
        </w:rPr>
        <w:t xml:space="preserve">[ORGANIZATION NAME] is a [CUSTOMIZE: type] organization with [CUSTOMIZE: number] employees. The organization has grown steadily over the past several years, but much of the operational knowledge and system access remains concentrated in a small number of long-tenured employees. The organization does not have [CUSTOMIZE: a formal succession plan / documented backup procedures for critical roles / cross-training program for key positions].</w:t>
      </w:r>
    </w:p>
    <w:p>
      <w:pPr>
        <w:spacing w:after="120" w:before="0" w:line="276"/>
      </w:pPr>
      <w:r>
        <w:rPr>
          <w:rFonts w:ascii="Calibri" w:cs="Calibri" w:eastAsia="Calibri" w:hAnsi="Calibri"/>
          <w:color w:val="404040"/>
          <w:sz w:val="21"/>
          <w:szCs w:val="21"/>
        </w:rPr>
        <w:t xml:space="preserve">It is Monday morning at 8:15 AM. [CUSTOMIZE: The controller / IT administrator / operations director] — the person this scenario refers to as the “Key Person” — has not arrived at work. Their phone goes directly to voicemail. They missed a scheduled 8:00 AM meeting without notice, which is highly unusual.</w:t>
      </w:r>
    </w:p>
    <w:p>
      <w:pPr>
        <w:pStyle w:val="Heading2"/>
        <w:keepNext/>
        <w:spacing w:after="110" w:before="240"/>
      </w:pPr>
      <w:r>
        <w:rPr>
          <w:rFonts w:ascii="Calibri" w:cs="Calibri" w:eastAsia="Calibri" w:hAnsi="Calibri"/>
          <w:b/>
          <w:bCs/>
          <w:color w:val="2E74B5"/>
          <w:sz w:val="25"/>
          <w:szCs w:val="25"/>
        </w:rPr>
        <w:t xml:space="preserve">Module 1: Discovery and Immediate Impact (25–30 minutes)</w:t>
      </w:r>
    </w:p>
    <w:p>
      <w:pPr>
        <w:spacing w:after="120" w:before="0" w:line="276"/>
      </w:pPr>
      <w:r>
        <w:rPr>
          <w:rFonts w:ascii="Calibri" w:cs="Calibri" w:eastAsia="Calibri" w:hAnsi="Calibri"/>
          <w:color w:val="404040"/>
          <w:sz w:val="21"/>
          <w:szCs w:val="21"/>
        </w:rPr>
        <w:t xml:space="preserve">The exercise opens with an unexplained absence that becomes, within the hour, a confirmed multi-week loss. Participants must keep operations moving while respecting the family's privacy.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What are the immediate operational priorities? What breaks first if the Key Person is unavailable for several weeks?</w:t>
      </w:r>
    </w:p>
    <w:p>
      <w:pPr>
        <w:pStyle w:val="ListParagraph"/>
        <w:numPr>
          <w:ilvl w:val="0"/>
          <w:numId w:val="2"/>
        </w:numPr>
        <w:spacing w:after="80" w:line="276"/>
      </w:pPr>
      <w:r>
        <w:rPr>
          <w:rFonts w:ascii="Calibri" w:cs="Calibri" w:eastAsia="Calibri" w:hAnsi="Calibri"/>
          <w:color w:val="404040"/>
          <w:sz w:val="21"/>
          <w:szCs w:val="21"/>
        </w:rPr>
        <w:t xml:space="preserve">How do you recover access to the systems and accounts the Key Person controlled? Is there a process for this?</w:t>
      </w:r>
    </w:p>
    <w:p>
      <w:pPr>
        <w:pStyle w:val="ListParagraph"/>
        <w:numPr>
          <w:ilvl w:val="0"/>
          <w:numId w:val="2"/>
        </w:numPr>
        <w:spacing w:after="80" w:line="276"/>
      </w:pPr>
      <w:r>
        <w:rPr>
          <w:rFonts w:ascii="Calibri" w:cs="Calibri" w:eastAsia="Calibri" w:hAnsi="Calibri"/>
          <w:color w:val="404040"/>
          <w:sz w:val="21"/>
          <w:szCs w:val="21"/>
        </w:rPr>
        <w:t xml:space="preserve">Who in this room can cover any of the Key Person's responsibilities temporarily? What gaps remain?</w:t>
      </w:r>
    </w:p>
    <w:p>
      <w:pPr>
        <w:pStyle w:val="ListParagraph"/>
        <w:numPr>
          <w:ilvl w:val="0"/>
          <w:numId w:val="2"/>
        </w:numPr>
        <w:spacing w:after="80" w:line="276"/>
      </w:pPr>
      <w:r>
        <w:rPr>
          <w:rFonts w:ascii="Calibri" w:cs="Calibri" w:eastAsia="Calibri" w:hAnsi="Calibri"/>
          <w:color w:val="404040"/>
          <w:sz w:val="21"/>
          <w:szCs w:val="21"/>
        </w:rPr>
        <w:t xml:space="preserve">The spouse asked for privacy. What are your obligations as an employer? What can you legally ask about the medical situation?</w:t>
      </w:r>
    </w:p>
    <w:p>
      <w:pPr>
        <w:pStyle w:val="ListParagraph"/>
        <w:numPr>
          <w:ilvl w:val="0"/>
          <w:numId w:val="2"/>
        </w:numPr>
        <w:spacing w:after="80" w:line="276"/>
      </w:pPr>
      <w:r>
        <w:rPr>
          <w:rFonts w:ascii="Calibri" w:cs="Calibri" w:eastAsia="Calibri" w:hAnsi="Calibri"/>
          <w:color w:val="404040"/>
          <w:sz w:val="21"/>
          <w:szCs w:val="21"/>
        </w:rPr>
        <w:t xml:space="preserve">Did you know about this level of dependency before today? If yes, why wasn't it addressed?</w:t>
      </w:r>
    </w:p>
    <w:p>
      <w:pPr>
        <w:pStyle w:val="Heading2"/>
        <w:keepNext/>
        <w:spacing w:after="110" w:before="240"/>
      </w:pPr>
      <w:r>
        <w:rPr>
          <w:rFonts w:ascii="Calibri" w:cs="Calibri" w:eastAsia="Calibri" w:hAnsi="Calibri"/>
          <w:b/>
          <w:bCs/>
          <w:color w:val="2E74B5"/>
          <w:sz w:val="25"/>
          <w:szCs w:val="25"/>
        </w:rPr>
        <w:t xml:space="preserve">Module 2: Operational Continuity and Stakeholder Impact (25–30 minutes)</w:t>
      </w:r>
    </w:p>
    <w:p>
      <w:pPr>
        <w:spacing w:after="120" w:before="0" w:line="276"/>
      </w:pPr>
      <w:r>
        <w:rPr>
          <w:rFonts w:ascii="Calibri" w:cs="Calibri" w:eastAsia="Calibri" w:hAnsi="Calibri"/>
          <w:color w:val="404040"/>
          <w:sz w:val="21"/>
          <w:szCs w:val="21"/>
        </w:rPr>
        <w:t xml:space="preserve">The dependency is now fully visible. Participants must sustain operations, manage employee anxiety, and act with authority the organization may never have formally delegated.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How do you communicate the situation to employees without violating the Key Person's privacy?</w:t>
      </w:r>
    </w:p>
    <w:p>
      <w:pPr>
        <w:pStyle w:val="ListParagraph"/>
        <w:numPr>
          <w:ilvl w:val="0"/>
          <w:numId w:val="2"/>
        </w:numPr>
        <w:spacing w:after="80" w:line="276"/>
      </w:pPr>
      <w:r>
        <w:rPr>
          <w:rFonts w:ascii="Calibri" w:cs="Calibri" w:eastAsia="Calibri" w:hAnsi="Calibri"/>
          <w:color w:val="404040"/>
          <w:sz w:val="21"/>
          <w:szCs w:val="21"/>
        </w:rPr>
        <w:t xml:space="preserve">How do you handle the external stakeholders who expect to deal with the Key Person? What authority do you have to act on the organization's behalf?</w:t>
      </w:r>
    </w:p>
    <w:p>
      <w:pPr>
        <w:pStyle w:val="ListParagraph"/>
        <w:numPr>
          <w:ilvl w:val="0"/>
          <w:numId w:val="2"/>
        </w:numPr>
        <w:spacing w:after="80" w:line="276"/>
      </w:pPr>
      <w:r>
        <w:rPr>
          <w:rFonts w:ascii="Calibri" w:cs="Calibri" w:eastAsia="Calibri" w:hAnsi="Calibri"/>
          <w:color w:val="404040"/>
          <w:sz w:val="21"/>
          <w:szCs w:val="21"/>
        </w:rPr>
        <w:t xml:space="preserve">If you cannot access the systems the Key Person controlled, what are your options? Can you contact the software vendor? Your IT provider? A locksmith for digital systems?</w:t>
      </w:r>
    </w:p>
    <w:p>
      <w:pPr>
        <w:pStyle w:val="ListParagraph"/>
        <w:numPr>
          <w:ilvl w:val="0"/>
          <w:numId w:val="2"/>
        </w:numPr>
        <w:spacing w:after="80" w:line="276"/>
      </w:pPr>
      <w:r>
        <w:rPr>
          <w:rFonts w:ascii="Calibri" w:cs="Calibri" w:eastAsia="Calibri" w:hAnsi="Calibri"/>
          <w:color w:val="404040"/>
          <w:sz w:val="21"/>
          <w:szCs w:val="21"/>
        </w:rPr>
        <w:t xml:space="preserve">What is the financial impact of this absence? Can you quantify it?</w:t>
      </w:r>
    </w:p>
    <w:p>
      <w:pPr>
        <w:pStyle w:val="ListParagraph"/>
        <w:numPr>
          <w:ilvl w:val="0"/>
          <w:numId w:val="2"/>
        </w:numPr>
        <w:spacing w:after="80" w:line="276"/>
      </w:pPr>
      <w:r>
        <w:rPr>
          <w:rFonts w:ascii="Calibri" w:cs="Calibri" w:eastAsia="Calibri" w:hAnsi="Calibri"/>
          <w:color w:val="404040"/>
          <w:sz w:val="21"/>
          <w:szCs w:val="21"/>
        </w:rPr>
        <w:t xml:space="preserve">Who becomes the single point of contact for everything related to the Key Person's responsibilities, so the organization answers each question once instead of five times?</w:t>
      </w:r>
    </w:p>
    <w:p>
      <w:pPr>
        <w:pStyle w:val="Heading2"/>
        <w:keepNext/>
        <w:spacing w:after="110" w:before="240"/>
      </w:pPr>
      <w:r>
        <w:rPr>
          <w:rFonts w:ascii="Calibri" w:cs="Calibri" w:eastAsia="Calibri" w:hAnsi="Calibri"/>
          <w:b/>
          <w:bCs/>
          <w:color w:val="2E74B5"/>
          <w:sz w:val="25"/>
          <w:szCs w:val="25"/>
        </w:rPr>
        <w:t xml:space="preserve">Module 3: Recovery and Prevention (25–30 minutes)</w:t>
      </w:r>
    </w:p>
    <w:p>
      <w:pPr>
        <w:spacing w:after="120" w:before="0" w:line="276"/>
      </w:pPr>
      <w:r>
        <w:rPr>
          <w:rFonts w:ascii="Calibri" w:cs="Calibri" w:eastAsia="Calibri" w:hAnsi="Calibri"/>
          <w:color w:val="404040"/>
          <w:sz w:val="21"/>
          <w:szCs w:val="21"/>
        </w:rPr>
        <w:t xml:space="preserve">The immediate crisis has stabilized into a long uncertainty. Participants must convert painful lessons into a concrete prevention program.</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What would you do differently starting tomorrow to prevent this situation from recurring?</w:t>
      </w:r>
    </w:p>
    <w:p>
      <w:pPr>
        <w:pStyle w:val="ListParagraph"/>
        <w:numPr>
          <w:ilvl w:val="0"/>
          <w:numId w:val="2"/>
        </w:numPr>
        <w:spacing w:after="80" w:line="276"/>
      </w:pPr>
      <w:r>
        <w:rPr>
          <w:rFonts w:ascii="Calibri" w:cs="Calibri" w:eastAsia="Calibri" w:hAnsi="Calibri"/>
          <w:color w:val="404040"/>
          <w:sz w:val="21"/>
          <w:szCs w:val="21"/>
        </w:rPr>
        <w:t xml:space="preserve">How do you identify every other “key person” dependency in the organization? Who owns that process?</w:t>
      </w:r>
    </w:p>
    <w:p>
      <w:pPr>
        <w:pStyle w:val="ListParagraph"/>
        <w:numPr>
          <w:ilvl w:val="0"/>
          <w:numId w:val="2"/>
        </w:numPr>
        <w:spacing w:after="80" w:line="276"/>
      </w:pPr>
      <w:r>
        <w:rPr>
          <w:rFonts w:ascii="Calibri" w:cs="Calibri" w:eastAsia="Calibri" w:hAnsi="Calibri"/>
          <w:color w:val="404040"/>
          <w:sz w:val="21"/>
          <w:szCs w:val="21"/>
        </w:rPr>
        <w:t xml:space="preserve">What does a realistic succession plan look like for an organization your size? What is the minimum viable version?</w:t>
      </w:r>
    </w:p>
    <w:p>
      <w:pPr>
        <w:pStyle w:val="ListParagraph"/>
        <w:numPr>
          <w:ilvl w:val="0"/>
          <w:numId w:val="2"/>
        </w:numPr>
        <w:spacing w:after="80" w:line="276"/>
      </w:pPr>
      <w:r>
        <w:rPr>
          <w:rFonts w:ascii="Calibri" w:cs="Calibri" w:eastAsia="Calibri" w:hAnsi="Calibri"/>
          <w:color w:val="404040"/>
          <w:sz w:val="21"/>
          <w:szCs w:val="21"/>
        </w:rPr>
        <w:t xml:space="preserve">How do you balance the cost of cross-training and documentation against the risk of not having it?</w:t>
      </w:r>
    </w:p>
    <w:p>
      <w:pPr>
        <w:pStyle w:val="ListParagraph"/>
        <w:numPr>
          <w:ilvl w:val="0"/>
          <w:numId w:val="2"/>
        </w:numPr>
        <w:spacing w:after="80" w:line="276"/>
      </w:pPr>
      <w:r>
        <w:rPr>
          <w:rFonts w:ascii="Calibri" w:cs="Calibri" w:eastAsia="Calibri" w:hAnsi="Calibri"/>
          <w:color w:val="404040"/>
          <w:sz w:val="21"/>
          <w:szCs w:val="21"/>
        </w:rPr>
        <w:t xml:space="preserve">If this scenario involved the CEO instead of the [Key Person's role], what additional challenges would surface?</w:t>
      </w:r>
    </w:p>
    <w:p>
      <w:r>
        <w:br w:type="page"/>
      </w:r>
    </w:p>
    <w:p>
      <w:pPr>
        <w:pStyle w:val="Heading1"/>
        <w:keepNext/>
        <w:spacing w:after="140" w:before="320"/>
      </w:pPr>
      <w:r>
        <w:rPr>
          <w:rFonts w:ascii="Calibri" w:cs="Calibri" w:eastAsia="Calibri" w:hAnsi="Calibri"/>
          <w:b/>
          <w:bCs/>
          <w:color w:val="1F3864"/>
          <w:sz w:val="30"/>
          <w:szCs w:val="30"/>
        </w:rPr>
        <w:t xml:space="preserve">Master Scenario Events List (MSEL)</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1: The Absence is Confirmed</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By 9:30 AM, it is clear that the Key Person will not be at work today. Their emergency contact (spouse) reports that the Key Person was taken to the hospital last night with a serious medical emergency. The spouse does not have details on the prognosis but says the Key Person will not be available for “at least several weeks, possibly longer.” The spouse asks that the organization respect the family's privacy during this time. The office manager plays the voicemail for the leadership team:</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Voicemail Transcript — Key Person's Spouse (Received 8:40 AM)</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From: [CUSTOMIZE: spouse's name], spouse of [Key Person]</w:t>
            </w:r>
          </w:p>
          <w:p>
            <w:pPr>
              <w:spacing w:after="60"/>
            </w:pPr>
            <w:r>
              <w:rPr>
                <w:rFonts w:ascii="Consolas" w:cs="Consolas" w:eastAsia="Consolas" w:hAnsi="Consolas"/>
                <w:color w:val="404040"/>
                <w:sz w:val="19"/>
                <w:szCs w:val="19"/>
              </w:rPr>
              <w:t xml:space="preserve">To: [CUSTOMIZE: office manager / HR director] direct line</w:t>
            </w:r>
          </w:p>
          <w:p>
            <w:pPr>
              <w:spacing w:after="60"/>
            </w:pPr>
            <w:r>
              <w:rPr>
                <w:rFonts w:ascii="Consolas" w:cs="Consolas" w:eastAsia="Consolas" w:hAnsi="Consolas"/>
                <w:color w:val="404040"/>
                <w:sz w:val="19"/>
                <w:szCs w:val="19"/>
              </w:rPr>
              <w:t xml:space="preserve">“Hi, this is [CUSTOMIZE: spouse's name], [Key Person]'s [husband / wife / partner]. I'm calling to let you know [Key Person] was taken to the hospital last night. It's… it's serious. The doctors haven't told us much yet, but they're saying at least several weeks, possibly longer. [He/She] can't take calls, and please don't call the hospital.</w:t>
            </w:r>
          </w:p>
          <w:p>
            <w:pPr>
              <w:spacing w:after="60"/>
            </w:pPr>
            <w:r>
              <w:rPr>
                <w:rFonts w:ascii="Consolas" w:cs="Consolas" w:eastAsia="Consolas" w:hAnsi="Consolas"/>
                <w:color w:val="404040"/>
                <w:sz w:val="19"/>
                <w:szCs w:val="19"/>
              </w:rPr>
              <w:t xml:space="preserve">I know there's probably work things — I'm sorry, I can't help with any of that. I don't know passwords or where anything is.</w:t>
            </w:r>
          </w:p>
          <w:p>
            <w:pPr>
              <w:spacing w:after="60"/>
            </w:pPr>
            <w:r>
              <w:rPr>
                <w:rFonts w:ascii="Consolas" w:cs="Consolas" w:eastAsia="Consolas" w:hAnsi="Consolas"/>
                <w:color w:val="404040"/>
                <w:sz w:val="19"/>
                <w:szCs w:val="19"/>
              </w:rPr>
              <w:t xml:space="preserve">Please keep this within whoever needs to know. We'd really appreciate some privacy right now. I'll call when I know more. I have to go.”</w:t>
            </w:r>
          </w:p>
        </w:tc>
      </w:tr>
    </w:tbl>
    <w:p>
      <w:pPr>
        <w:spacing w:after="120"/>
      </w:pP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2: The Access Problem Surfaces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OPTION A — Controller scenario:</w:t>
      </w:r>
      <w:r>
        <w:rPr>
          <w:rFonts w:ascii="Calibri" w:cs="Calibri" w:eastAsia="Calibri" w:hAnsi="Calibri"/>
          <w:color w:val="404040"/>
          <w:sz w:val="21"/>
          <w:szCs w:val="21"/>
        </w:rPr>
        <w:t xml:space="preserve"> The payroll processing deadline is Friday. The Key Person is the only individual with administrative access to the payroll system, the only authorized check signer on the operating account, and the only person who knows the password to the accounting software. The backup check signer left the company two years ago and was never replaced.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OPTION B — IT Admin scenario:</w:t>
      </w:r>
      <w:r>
        <w:rPr>
          <w:rFonts w:ascii="Calibri" w:cs="Calibri" w:eastAsia="Calibri" w:hAnsi="Calibri"/>
          <w:color w:val="404040"/>
          <w:sz w:val="21"/>
          <w:szCs w:val="21"/>
        </w:rPr>
        <w:t xml:space="preserve"> Several employees report they can't log into critical systems this morning. The Key Person was the only individual who managed Active Directory, the firewall, and the cloud infrastructure. Their admin credentials are not documented anywhere accessible to remaining staff. A vendor support contract renewal is due this week, and only the Key Person knows the account details.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OPTION C — Operations Director scenario:</w:t>
      </w:r>
      <w:r>
        <w:rPr>
          <w:rFonts w:ascii="Calibri" w:cs="Calibri" w:eastAsia="Calibri" w:hAnsi="Calibri"/>
          <w:color w:val="404040"/>
          <w:sz w:val="21"/>
          <w:szCs w:val="21"/>
        </w:rPr>
        <w:t xml:space="preserve"> The organization's largest client has a project deliverable due Thursday. The Key Person managed this relationship exclusively and holds all project documentation on their personal laptop (currently at their home). No other team member has been briefed on the project status, deliverables, or client expectations.</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3: The Scope of Dependency Becomes Clear</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As the morning progresses, team members begin identifying additional areas where the Key Person was the sole knowledge holder. A whiteboard exercise reveals that the Key Person was solely responsible for: [CUSTOMIZE: 4–6 specific functions drawn from intake questionnaire]. No documentation exists for any of these processes. One team member observes: “We all knew [Key Person] did everything. We just never talked about what would happen if they couldn't.”</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1</w:t>
            </w:r>
          </w:p>
          <w:p>
            <w:pPr>
              <w:spacing w:after="40" w:before="0" w:line="276"/>
            </w:pPr>
            <w:r>
              <w:rPr>
                <w:rFonts w:ascii="Calibri" w:cs="Calibri" w:eastAsia="Calibri" w:hAnsi="Calibri"/>
                <w:color w:val="404040"/>
                <w:sz w:val="20"/>
                <w:szCs w:val="20"/>
              </w:rPr>
              <w:t xml:space="preserve">Listen for: whether anyone knows the actual access-recovery process (or whether “call the vendor” is a guess), how quickly the room can inventory what the Key Person alone controls, and whether the privacy request is handled respectfully while operations still move forward. Each sole-holder credential or undocumented process that surfaces should be documented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4: Business Obligations at Risk</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[Based on selected option: Payroll deadline approaching with no system access / Systems degrading without admin maintenance / Client deliverable due with no project documentation]. An employee asks: “Are we going to be able to make payroll this week?” / A client emails: “We need an update on the project status by end of day.”</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5: The Broader Organization Notices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Other employees are beginning to ask questions. The Key Person's absence is noticeable, and rumors are circulating. One employee asks HR: “Is [Key Person] okay? Are we going to be okay? Should I be looking for another job?” The HR director asks leadership: “What do we tell the staff?”</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6: External Stakeholder Inquiry</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Your [CUSTOMIZE: bank / primary vendor / insurance carrier] calls. They need to speak with the Key Person about [CUSTOMIZE: a routine matter that only the Key Person handles]. When told the Key Person is unavailable, the caller asks: “Who else is authorized to handle this? We need to resolve this by end of week.” A follow-up email arrives an hour later:</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Email from External Stakeholder (Simulated)</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From: [CUSTOMIZE: contact name], [CUSTOMIZE: bank / primary vendor / insurance carrier] &lt;[email]&gt;</w:t>
            </w:r>
          </w:p>
          <w:p>
            <w:pPr>
              <w:spacing w:after="60"/>
            </w:pPr>
            <w:r>
              <w:rPr>
                <w:rFonts w:ascii="Consolas" w:cs="Consolas" w:eastAsia="Consolas" w:hAnsi="Consolas"/>
                <w:color w:val="404040"/>
                <w:sz w:val="19"/>
                <w:szCs w:val="19"/>
              </w:rPr>
              <w:t xml:space="preserve">To: [Key Person] (forwarded to the office manager after the call)</w:t>
            </w:r>
          </w:p>
          <w:p>
            <w:pPr>
              <w:spacing w:after="60"/>
            </w:pPr>
            <w:r>
              <w:rPr>
                <w:rFonts w:ascii="Consolas" w:cs="Consolas" w:eastAsia="Consolas" w:hAnsi="Consolas"/>
                <w:color w:val="404040"/>
                <w:sz w:val="19"/>
                <w:szCs w:val="19"/>
              </w:rPr>
              <w:t xml:space="preserve">Subject: Action required by Friday — [CUSTOMIZE: line-of-credit renewal / support contract renewal / account verification]</w:t>
            </w:r>
          </w:p>
          <w:p>
            <w:pPr>
              <w:spacing w:after="60"/>
            </w:pPr>
            <w:r>
              <w:rPr>
                <w:rFonts w:ascii="Consolas" w:cs="Consolas" w:eastAsia="Consolas" w:hAnsi="Consolas"/>
                <w:color w:val="404040"/>
                <w:sz w:val="19"/>
                <w:szCs w:val="19"/>
              </w:rPr>
              <w:t xml:space="preserve">Following up on today's call. Per our records, [Key Person] is the sole authorized [signer / administrator / contact] on this account, and we require their authorization to complete the [CUSTOMIZE: renewal / verification] by Friday.</w:t>
            </w:r>
          </w:p>
          <w:p>
            <w:pPr>
              <w:spacing w:after="60"/>
            </w:pPr>
            <w:r>
              <w:rPr>
                <w:rFonts w:ascii="Consolas" w:cs="Consolas" w:eastAsia="Consolas" w:hAnsi="Consolas"/>
                <w:color w:val="404040"/>
                <w:sz w:val="19"/>
                <w:szCs w:val="19"/>
              </w:rPr>
              <w:t xml:space="preserve">If another officer of the organization should be granted authority, we will need [CUSTOMIZE: a board resolution / a certified signature card / notarized authorization documents], which typically take [CUSTOMIZE: 5–10] business days to process.</w:t>
            </w:r>
          </w:p>
          <w:p>
            <w:pPr>
              <w:spacing w:after="60"/>
            </w:pPr>
            <w:r>
              <w:rPr>
                <w:rFonts w:ascii="Consolas" w:cs="Consolas" w:eastAsia="Consolas" w:hAnsi="Consolas"/>
                <w:color w:val="404040"/>
                <w:sz w:val="19"/>
                <w:szCs w:val="19"/>
              </w:rPr>
              <w:t xml:space="preserve">If we do not receive authorization by Friday, [CUSTOMIZE: the renewal will lapse / a late penalty will apply / access will be suspended] per the terms of the agreement.</w:t>
            </w:r>
          </w:p>
          <w:p>
            <w:pPr>
              <w:spacing w:after="60"/>
            </w:pPr>
            <w:r>
              <w:rPr>
                <w:rFonts w:ascii="Consolas" w:cs="Consolas" w:eastAsia="Consolas" w:hAnsi="Consolas"/>
                <w:color w:val="404040"/>
                <w:sz w:val="19"/>
                <w:szCs w:val="19"/>
              </w:rPr>
              <w:t xml:space="preserve">Please advise how you would like to proceed.</w:t>
            </w:r>
          </w:p>
          <w:p>
            <w:pPr>
              <w:spacing w:after="60"/>
            </w:pPr>
            <w:r>
              <w:rPr>
                <w:rFonts w:ascii="Consolas" w:cs="Consolas" w:eastAsia="Consolas" w:hAnsi="Consolas"/>
                <w:color w:val="404040"/>
                <w:sz w:val="19"/>
                <w:szCs w:val="19"/>
              </w:rPr>
              <w:t xml:space="preserve">[Contact name], [title]</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2</w:t>
            </w:r>
          </w:p>
          <w:p>
            <w:pPr>
              <w:spacing w:after="40" w:before="0" w:line="276"/>
            </w:pPr>
            <w:r>
              <w:rPr>
                <w:rFonts w:ascii="Calibri" w:cs="Calibri" w:eastAsia="Calibri" w:hAnsi="Calibri"/>
                <w:color w:val="404040"/>
                <w:sz w:val="20"/>
                <w:szCs w:val="20"/>
              </w:rPr>
              <w:t xml:space="preserve">Listen for: who is authorized — on paper — to act with banks, vendors, and clients; whether employee communication balances privacy with reassurance; and whether the financial impact of the absence can be quantified even roughly. Document every authority gap a third party would refuse to work around (missing signature cards, unsigned delegations, undocumented authorities)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7: Two Weeks Later</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It has been two weeks. The Key Person's prognosis is improving, but they will not return for at least another 4–6 weeks, and their capacity upon return is uncertain. The organization has [CUSTOMIZE: managed to restore basic access with vendor help / hired a temporary contractor / relied on workarounds that are unsustainable long-term]. Some processes are running, but others remain stalled.</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8: The Permanent Question</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During a leadership meeting, someone raises the question: “What if the Key Person doesn't come back at all? What if they decide to retire after this? What if this had been worse? We need to talk about what we're going to do differently.”</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3</w:t>
            </w:r>
          </w:p>
          <w:p>
            <w:pPr>
              <w:spacing w:after="40" w:before="0" w:line="276"/>
            </w:pPr>
            <w:r>
              <w:rPr>
                <w:rFonts w:ascii="Calibri" w:cs="Calibri" w:eastAsia="Calibri" w:hAnsi="Calibri"/>
                <w:color w:val="404040"/>
                <w:sz w:val="20"/>
                <w:szCs w:val="20"/>
              </w:rPr>
              <w:t xml:space="preserve">Listen for: whether prevention commitments are specific (named owners, dates, budgets) or aspirational; whether the room can name its other key-person dependencies; and how participants react to the “what if they never come back” question. Document missing succession plans, cross-training, documentation, and credential-escrow processes as findings for the AAR.</w:t>
            </w:r>
          </w:p>
        </w:tc>
      </w:tr>
    </w:tbl>
    <w:p>
      <w:pPr>
        <w:pStyle w:val="Heading2"/>
        <w:keepNext/>
        <w:spacing w:after="110" w:before="240"/>
      </w:pPr>
      <w:r>
        <w:rPr>
          <w:rFonts w:ascii="Calibri" w:cs="Calibri" w:eastAsia="Calibri" w:hAnsi="Calibri"/>
          <w:b/>
          <w:bCs/>
          <w:color w:val="2E74B5"/>
          <w:sz w:val="25"/>
          <w:szCs w:val="25"/>
        </w:rPr>
        <w:t xml:space="preserve">MSEL Summary Table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700"/>
        <w:gridCol w:w="800"/>
        <w:gridCol w:w="900"/>
        <w:gridCol w:w="1100"/>
        <w:gridCol w:w="2900"/>
        <w:gridCol w:w="2960"/>
      </w:tblGrid>
      <w:tr>
        <w:trPr>
          <w:tblHeader/>
        </w:trPr>
        <w:tc>
          <w:tcPr>
            <w:tcW w:type="dxa" w:w="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Inject</w:t>
            </w:r>
          </w:p>
        </w:tc>
        <w:tc>
          <w:tcPr>
            <w:tcW w:type="dxa" w:w="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Module</w:t>
            </w:r>
          </w:p>
        </w:tc>
        <w:tc>
          <w:tcPr>
            <w:tcW w:type="dxa" w:w="1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Method</w:t>
            </w:r>
          </w:p>
        </w:tc>
        <w:tc>
          <w:tcPr>
            <w:tcW w:type="dxa" w:w="2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 Summary</w:t>
            </w:r>
          </w:p>
        </w:tc>
        <w:tc>
          <w:tcPr>
            <w:tcW w:type="dxa" w:w="2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Expected Discussion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+0:00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Person hospitalized, unavailable for weeks; spouse voicemail</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Initial response, privacy, immediate operational impact</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+0:10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Access problem surfaces: sole credentials, sole authority</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Access recovery, system continuity, workarounds</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Full scope of dependency revealed (whiteboard exercise)</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Dependency inventory, emotional response, accountability</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+0:35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obligations at risk: deadlines, operations, clients</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Prioritization, resource allocation, interim solutions</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+0:50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rumors and anxiety</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Internal communication, morale, privacy balance</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External stakeholder needs Key Person specifically; follow-up email</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Authorization, representation, relationship management</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Two weeks later: partial recovery, long-term uncertainty</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Sustainability assessment, temporary solutions review</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+1:40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permanent question: what if they don't come back?</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Succession planning, systemic change, cultural shift</w:t>
            </w:r>
          </w:p>
        </w:tc>
      </w:tr>
    </w:tbl>
    <w:p>
      <w:r>
        <w:br w:type="page"/>
      </w:r>
    </w:p>
    <w:p>
      <w:pPr>
        <w:pStyle w:val="Heading1"/>
        <w:keepNext/>
        <w:spacing w:after="140" w:before="320"/>
      </w:pPr>
      <w:r>
        <w:rPr>
          <w:rFonts w:ascii="Calibri" w:cs="Calibri" w:eastAsia="Calibri" w:hAnsi="Calibri"/>
          <w:b/>
          <w:bCs/>
          <w:color w:val="1F3864"/>
          <w:sz w:val="30"/>
          <w:szCs w:val="30"/>
        </w:rPr>
        <w:t xml:space="preserve">Facilitator Notes</w:t>
      </w:r>
    </w:p>
    <w:p>
      <w:pPr>
        <w:pStyle w:val="Heading2"/>
        <w:keepNext/>
        <w:spacing w:after="110" w:before="240"/>
      </w:pPr>
      <w:r>
        <w:rPr>
          <w:rFonts w:ascii="Calibri" w:cs="Calibri" w:eastAsia="Calibri" w:hAnsi="Calibri"/>
          <w:b/>
          <w:bCs/>
          <w:color w:val="2E74B5"/>
          <w:sz w:val="25"/>
          <w:szCs w:val="25"/>
        </w:rPr>
        <w:t xml:space="preserve">Framing Reminders</w:t>
      </w:r>
    </w:p>
    <w:p>
      <w:pPr>
        <w:spacing w:after="120" w:before="0" w:line="276"/>
      </w:pPr>
      <w:r>
        <w:rPr>
          <w:rFonts w:ascii="Calibri" w:cs="Calibri" w:eastAsia="Calibri" w:hAnsi="Calibri"/>
          <w:color w:val="404040"/>
          <w:sz w:val="21"/>
          <w:szCs w:val="21"/>
        </w:rPr>
        <w:t xml:space="preserve">This is a business response exercise, not a technical account-recovery session. Keep the discussion focused on decisions, communication, and coordination rather than credential mechanics. When participants want to discuss technical details (password vault administration, MFA reset procedures, directory permissions), acknowledge the question and redirect: “That's an important technical question. For today's exercise, let's focus on the business decision: given that you don't have an immediate answer to that technical question, what do you do next?”</w:t>
      </w:r>
    </w:p>
    <w:p>
      <w:pPr>
        <w:pStyle w:val="Heading2"/>
        <w:keepNext/>
        <w:spacing w:after="110" w:before="240"/>
      </w:pPr>
      <w:r>
        <w:rPr>
          <w:rFonts w:ascii="Calibri" w:cs="Calibri" w:eastAsia="Calibri" w:hAnsi="Calibri"/>
          <w:b/>
          <w:bCs/>
          <w:color w:val="2E74B5"/>
          <w:sz w:val="25"/>
          <w:szCs w:val="25"/>
        </w:rPr>
        <w:t xml:space="preserve">Emotional Sensitivity</w:t>
      </w:r>
    </w:p>
    <w:p>
      <w:pPr>
        <w:spacing w:after="120" w:before="0" w:line="276"/>
      </w:pPr>
      <w:r>
        <w:rPr>
          <w:rFonts w:ascii="Calibri" w:cs="Calibri" w:eastAsia="Calibri" w:hAnsi="Calibri"/>
          <w:color w:val="404040"/>
          <w:sz w:val="21"/>
          <w:szCs w:val="21"/>
        </w:rPr>
        <w:t xml:space="preserve">This scenario can be emotionally charged. Participants may think of specific colleagues. The medical emergency framing avoids attributing the absence to death, termination, or misconduct, which keeps the discussion focused on organizational continuity rather than grief or blame. If participants become visibly affected, acknowledge the emotional weight: “This scenario touches on something real. That's exactly why it's important to discuss now, when we have the space to plan.”</w:t>
      </w:r>
    </w:p>
    <w:p>
      <w:pPr>
        <w:pStyle w:val="Heading2"/>
        <w:keepNext/>
        <w:spacing w:after="110" w:before="240"/>
      </w:pPr>
      <w:r>
        <w:rPr>
          <w:rFonts w:ascii="Calibri" w:cs="Calibri" w:eastAsia="Calibri" w:hAnsi="Calibri"/>
          <w:b/>
          <w:bCs/>
          <w:color w:val="2E74B5"/>
          <w:sz w:val="25"/>
          <w:szCs w:val="25"/>
        </w:rPr>
        <w:t xml:space="preserve">Common Participant Responses and Probe Questions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700"/>
        <w:gridCol w:w="5660"/>
      </w:tblGrid>
      <w:tr>
        <w:trPr>
          <w:tblHeader/>
        </w:trPr>
        <w:tc>
          <w:tcPr>
            <w:tcW w:type="dxa" w:w="3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Participants...</w:t>
            </w:r>
          </w:p>
        </w:tc>
        <w:tc>
          <w:tcPr>
            <w:tcW w:type="dxa" w:w="5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Probe With...</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“We'd just call them”</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“They are unreachable for at least three weeks, and the family has asked for privacy. What is hour one?”</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“IT can reset everything”</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“Which systems require the absent person's personal MFA device or sole admin credential? Who can actually perform the reset — and does the vendor recognize their authority?”</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Focus on sympathy logistics (flowers, cards, hospital visits)</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“That compassion matters, and someone should own it. Meanwhile — who is running payroll on Friday? Let's come back to operational continuity.”</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deputy can sign”</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“Is that authority documented anywhere a bank would accept — a signature card, a board resolution, a power of attorney?”</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“We'll figure out payroll”</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“Payroll runs in 4 days. Who exactly presses the button? Do they have working credentials today?”</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“This would never happen — they'd have shared their passwords”</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“Shared personal credentials are a control failure of their own — and incapacity means nobody can ask. What is the process that doesn't depend on goodwill?”</w:t>
            </w:r>
          </w:p>
        </w:tc>
      </w:tr>
    </w:tbl>
    <w:p>
      <w:r>
        <w:br w:type="page"/>
      </w:r>
    </w:p>
    <w:p>
      <w:pPr>
        <w:pStyle w:val="Heading1"/>
        <w:keepNext/>
        <w:spacing w:after="140" w:before="320"/>
      </w:pPr>
      <w:r>
        <w:rPr>
          <w:rFonts w:ascii="Calibri" w:cs="Calibri" w:eastAsia="Calibri" w:hAnsi="Calibri"/>
          <w:b/>
          <w:bCs/>
          <w:color w:val="1F3864"/>
          <w:sz w:val="30"/>
          <w:szCs w:val="30"/>
        </w:rPr>
        <w:t xml:space="preserve">Customization Checklist</w:t>
      </w:r>
    </w:p>
    <w:p>
      <w:pPr>
        <w:spacing w:after="120" w:before="0" w:line="276"/>
      </w:pPr>
      <w:r>
        <w:rPr>
          <w:rFonts w:ascii="Calibri" w:cs="Calibri" w:eastAsia="Calibri" w:hAnsi="Calibri"/>
          <w:color w:val="404040"/>
          <w:sz w:val="21"/>
          <w:szCs w:val="21"/>
        </w:rPr>
        <w:t xml:space="preserve">Customize the following elements before delivery. All [CUSTOMIZE] tags in the narrative and artifacts should be replaced with client-specific details.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3100"/>
        <w:gridCol w:w="38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Default</w:t>
            </w:r>
          </w:p>
        </w:tc>
        <w:tc>
          <w:tcPr>
            <w:tcW w:type="dxa" w:w="3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Customize To</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Person role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Controller</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Based on intake: which role has the most concentrated knowledge/access?</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 type</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Generic mid-market</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industry and size</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count</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30–150</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or approximate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Critical systems affected</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Payroll, banking, accounting</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Systems the actual key person controls</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Specific dependencies</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4–6 generic functions</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Draw from intake questionnaire Section 3 (Key Person Dependencies)</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deadline</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Friday payroll</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 realistic near-term deadline for the client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External stakeholder</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Bank</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most relevant external relationship tied to the key person</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 option (A/B/C)</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 (Controller)</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Based on intake: which key person dependency is most critical?</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 Before Delivery</w:t>
            </w:r>
          </w:p>
          <w:p>
            <w:pPr>
              <w:spacing w:after="40" w:before="0" w:line="276"/>
            </w:pPr>
            <w:r>
              <w:rPr>
                <w:rFonts w:ascii="Calibri" w:cs="Calibri" w:eastAsia="Calibri" w:hAnsi="Calibri"/>
                <w:color w:val="404040"/>
                <w:sz w:val="20"/>
                <w:szCs w:val="20"/>
              </w:rPr>
              <w:t xml:space="preserve">Replace every [CUSTOMIZE] tag in the narrative and artifacts with client-specific detail from the Client Intake Packet. Verify internal consistency and plausibility. The scenario summary goes to the client for approval via Pre-Exercise Forms (02 - Contract folder), Form A.</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 Regulatory Reference Disclaimer</w:t>
            </w:r>
          </w:p>
          <w:p>
            <w:pPr>
              <w:spacing w:after="40" w:before="0" w:line="276"/>
            </w:pPr>
            <w:r>
              <w:rPr>
                <w:rFonts w:ascii="Calibri" w:cs="Calibri" w:eastAsia="Calibri" w:hAnsi="Calibri"/>
                <w:color w:val="404040"/>
                <w:sz w:val="20"/>
                <w:szCs w:val="20"/>
              </w:rPr>
              <w:t xml:space="preserve">Regulatory requirements, notification timelines, and compliance obligations referenced in this scenario are illustrative and based on information available at the time of scenario development (July 2026). They should not be relied upon as current legal guidance. Regulations, notification timelines, enforcement interpretations, and jurisdictional requirements change. Participants and clients should consult qualified legal counsel for current regulatory requirements applicable to their specific jurisdiction, industry, and circumstances.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GS-3 — Key Person Loss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2026-07-14T20:00:19.555Z</dcterms:created>
  <dcterms:modified xsi:type="dcterms:W3CDTF">2026-07-14T20:00:19.555Z</dcterms:modified>
</cp:coreProperties>
</file>

<file path=docProps/custom.xml><?xml version="1.0" encoding="utf-8"?>
<Properties xmlns="http://schemas.openxmlformats.org/officeDocument/2006/custom-properties" xmlns:vt="http://schemas.openxmlformats.org/officeDocument/2006/docPropsVTypes"/>
</file>